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3" w:rsidRPr="00A07855" w:rsidRDefault="00C629E1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Результати роботи </w:t>
      </w:r>
    </w:p>
    <w:p w:rsidR="00122D56" w:rsidRDefault="00184DFB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Центру надання адміністративних послуг</w:t>
      </w:r>
      <w:r w:rsidR="00C629E1"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84DFB" w:rsidRDefault="00C629E1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Нововодолазької селищної р</w:t>
      </w:r>
      <w:r w:rsidR="00837593" w:rsidRPr="00A07855">
        <w:rPr>
          <w:rFonts w:ascii="Times New Roman" w:hAnsi="Times New Roman" w:cs="Times New Roman"/>
          <w:b/>
          <w:sz w:val="32"/>
          <w:szCs w:val="32"/>
          <w:lang w:val="uk-UA"/>
        </w:rPr>
        <w:t>ад</w:t>
      </w: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 за </w:t>
      </w:r>
      <w:r w:rsidR="00734D17">
        <w:rPr>
          <w:rFonts w:ascii="Times New Roman" w:hAnsi="Times New Roman" w:cs="Times New Roman"/>
          <w:b/>
          <w:sz w:val="32"/>
          <w:szCs w:val="32"/>
          <w:lang w:val="uk-UA"/>
        </w:rPr>
        <w:t>січень</w:t>
      </w:r>
      <w:r w:rsidR="00C873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043497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734D17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0434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року</w:t>
      </w:r>
    </w:p>
    <w:p w:rsidR="00043497" w:rsidRDefault="00043497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0D90" w:rsidRPr="00C20D90" w:rsidRDefault="00C20D90" w:rsidP="00C20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0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забезпечення прав громадян на отримання якісних адміністративних послуг на території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Нововодолазької </w:t>
      </w:r>
      <w:r w:rsidRPr="00C20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 функціонує Центр надання адміністративних послуг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Нововодолазької селищної ради</w:t>
      </w:r>
      <w:r w:rsidRPr="00C20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який результативно взаємодіє з суб’єктами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адання адміністративних послуг.</w:t>
      </w:r>
    </w:p>
    <w:p w:rsidR="00C20D90" w:rsidRDefault="00C20D90" w:rsidP="00C20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0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Одним із основних принципів, на яких базується робота Центру, є доступність, зручність, своєчасне, повне та якісне надання адміністративних послуг.</w:t>
      </w:r>
    </w:p>
    <w:p w:rsidR="00A8122B" w:rsidRDefault="002E5BFF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січня 2024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23F85">
        <w:rPr>
          <w:rFonts w:ascii="Times New Roman" w:hAnsi="Times New Roman" w:cs="Times New Roman"/>
          <w:sz w:val="28"/>
          <w:szCs w:val="28"/>
          <w:lang w:val="uk-UA"/>
        </w:rPr>
        <w:t xml:space="preserve">у Центрі надання адміністративних послуг Нововодолазької селищної ради </w:t>
      </w:r>
      <w:r w:rsidR="00457892" w:rsidRPr="00023F85">
        <w:rPr>
          <w:rFonts w:ascii="Times New Roman" w:hAnsi="Times New Roman" w:cs="Times New Roman"/>
          <w:sz w:val="28"/>
          <w:szCs w:val="28"/>
          <w:lang w:val="uk-UA"/>
        </w:rPr>
        <w:t>було надано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808</w:t>
      </w:r>
      <w:r w:rsidR="00457892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9747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892" w:rsidRPr="000138A8" w:rsidRDefault="00457892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138A8">
        <w:rPr>
          <w:rFonts w:ascii="Times New Roman" w:hAnsi="Times New Roman" w:cs="Times New Roman"/>
          <w:sz w:val="28"/>
          <w:szCs w:val="28"/>
          <w:lang w:val="uk-UA"/>
        </w:rPr>
        <w:t>Розглянемо більш детально відомості про кількість наданих послуг за видами:</w:t>
      </w:r>
    </w:p>
    <w:p w:rsidR="00043497" w:rsidRPr="00A8122B" w:rsidRDefault="00E87CE1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реєстрація МПФО –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0C9B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43497" w:rsidRDefault="00043497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послуги ДРАЦС – </w:t>
      </w:r>
      <w:r w:rsidR="00C3225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90C9B" w:rsidRPr="00A8122B" w:rsidRDefault="00090C9B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вторинні ДРАЦС – 8,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речових прав на нерухоме майно –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юридичних осіб, фізичних осіб-підприємців – </w:t>
      </w:r>
      <w:r w:rsidR="00A8122B" w:rsidRPr="00A812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</w:t>
      </w:r>
      <w:r w:rsidR="007A4D2F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та видача паспортів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="00974759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87CE1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соціального характеру – </w:t>
      </w:r>
      <w:r w:rsidR="00C322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122B" w:rsidRPr="00A8122B" w:rsidRDefault="00A8122B" w:rsidP="007C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–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ДЗК –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A8122B" w:rsidRPr="00A81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22B" w:rsidRPr="00A8122B" w:rsidRDefault="00A8122B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497" w:rsidRDefault="00090C9B" w:rsidP="007C327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2D3CD5" wp14:editId="652036D1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122B" w:rsidRDefault="00A8122B" w:rsidP="0053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378" w:rsidRDefault="00090C9B" w:rsidP="00DF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4F083F1" wp14:editId="66305E23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1BC" w:rsidRDefault="00DF31BC" w:rsidP="00DF31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C4A" w:rsidRDefault="00090C9B" w:rsidP="0053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A3A9D1B" wp14:editId="025D91AE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26F7" w:rsidRDefault="00FF26F7" w:rsidP="000800E7">
      <w:pPr>
        <w:tabs>
          <w:tab w:val="left" w:pos="1560"/>
        </w:tabs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77C4A" w:rsidRDefault="00E77C4A" w:rsidP="007C3275">
      <w:pPr>
        <w:spacing w:after="0"/>
        <w:ind w:left="142"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531B6C53" wp14:editId="47BE4FF8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11D" w:rsidRDefault="002C111D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C111D" w:rsidRDefault="002C111D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B6F6D6C" wp14:editId="28B5F8BC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67DF" w:rsidRDefault="007A67DF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C111D" w:rsidRDefault="007A67DF" w:rsidP="007A67DF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Pr="007A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травня 2023 року у ЦНАП доступними для громадян стали паспорті послуги. Ці послуги користуються  надзвичайно великою популярністю. Пишаємося, що в час війни нам таки вдалося запровадити їх нашому Центрі.</w:t>
      </w:r>
    </w:p>
    <w:p w:rsidR="007A67DF" w:rsidRDefault="007A67DF" w:rsidP="007A67DF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C111D" w:rsidRDefault="002C111D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6D6C52E5" wp14:editId="0EFA8545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67DF" w:rsidRDefault="007A67DF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A67DF" w:rsidRPr="007A67DF" w:rsidRDefault="007A67DF" w:rsidP="007A67DF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A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ЦНАП постійно працює над вдосконаленням своєї роботи, забезпеченням високої якості обслуговування та розширює спектр послуг.</w:t>
      </w:r>
    </w:p>
    <w:p w:rsidR="00C526F1" w:rsidRDefault="00C526F1" w:rsidP="00C526F1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="007A67DF" w:rsidRPr="007A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початку повномасштабної війни ЦНАП взяв на себе роботу щодо реєстрації та обл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іку внутрішньо переміщених осіб.</w:t>
      </w:r>
    </w:p>
    <w:p w:rsidR="00FF26F7" w:rsidRDefault="00C526F1" w:rsidP="00C526F1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="00FF26F7"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метою наближення адміністративних послуг до населення  старост</w:t>
      </w:r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="00FF26F7"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отримали повноваження первинної реєстрації актів цивільного стану (одруження, народження, смерть), реєстрації актів проживання фізичних осіб, видачі довідок про</w:t>
      </w:r>
      <w:r w:rsidR="00FF26F7"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F26F7"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склад сім’ї, довідки про</w:t>
      </w:r>
      <w:r w:rsidR="00FF26F7"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F26F7"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зареєстрованих осіб</w:t>
      </w:r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ін</w:t>
      </w:r>
      <w:r w:rsidR="00FF26F7"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</w:t>
      </w:r>
      <w:r w:rsidR="00734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січень 2024</w:t>
      </w:r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року </w:t>
      </w:r>
      <w:proofErr w:type="spellStart"/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старостинськими</w:t>
      </w:r>
      <w:proofErr w:type="spellEnd"/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округами було надано </w:t>
      </w:r>
      <w:r w:rsidR="0033159B" w:rsidRPr="00C20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1085</w:t>
      </w:r>
      <w:r w:rsidR="00FF26F7" w:rsidRPr="00C20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адміністративн</w:t>
      </w:r>
      <w:r w:rsidR="00331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r w:rsidR="00FF2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послуг</w:t>
      </w:r>
      <w:r w:rsidR="00035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и.</w:t>
      </w:r>
    </w:p>
    <w:p w:rsidR="0033159B" w:rsidRDefault="0033159B" w:rsidP="0033159B">
      <w:pPr>
        <w:spacing w:after="0"/>
        <w:ind w:right="284"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308F7E7" wp14:editId="226857C7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26F7" w:rsidRDefault="00FF26F7" w:rsidP="00FF26F7">
      <w:pPr>
        <w:spacing w:after="0"/>
        <w:ind w:right="28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909D4" w:rsidRPr="000909D4" w:rsidRDefault="000909D4" w:rsidP="000909D4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090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 Центрі реалізуються принципи одержання громадянами широкого спектру інформації, отримання кваліфікованих консультацій, надання необхідної послуги в одному місці, ввічливе ставлення до кожної людини, розуміння проблем відвідувачів та прагнення максимально швидко 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найти рішення для їх вирішення.</w:t>
      </w:r>
    </w:p>
    <w:p w:rsidR="000909D4" w:rsidRPr="000909D4" w:rsidRDefault="000909D4" w:rsidP="000909D4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Pr="00090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Крок за кроком ми намагаємося будувати сучасний, європейський сервісний ЦНАП, орієнтований на потреби громадян.</w:t>
      </w:r>
    </w:p>
    <w:p w:rsidR="000909D4" w:rsidRPr="000909D4" w:rsidRDefault="000909D4" w:rsidP="000909D4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F26F7" w:rsidRDefault="000909D4" w:rsidP="000909D4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bookmarkStart w:id="0" w:name="_GoBack"/>
      <w:bookmarkEnd w:id="0"/>
      <w:r w:rsidRPr="00090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Ми працюємо для вас і разом наближаємо нашу Перемогу!</w:t>
      </w:r>
    </w:p>
    <w:sectPr w:rsidR="00FF26F7" w:rsidSect="00122D5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650"/>
    <w:multiLevelType w:val="multilevel"/>
    <w:tmpl w:val="F50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C19D6"/>
    <w:multiLevelType w:val="multilevel"/>
    <w:tmpl w:val="CB3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65527"/>
    <w:multiLevelType w:val="multilevel"/>
    <w:tmpl w:val="FFC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D38BC"/>
    <w:multiLevelType w:val="multilevel"/>
    <w:tmpl w:val="70C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01CD4"/>
    <w:multiLevelType w:val="hybridMultilevel"/>
    <w:tmpl w:val="88E08A7C"/>
    <w:lvl w:ilvl="0" w:tplc="211461A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4D412B"/>
    <w:multiLevelType w:val="multilevel"/>
    <w:tmpl w:val="B0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B"/>
    <w:rsid w:val="000138A8"/>
    <w:rsid w:val="000203BC"/>
    <w:rsid w:val="00023F85"/>
    <w:rsid w:val="000355CA"/>
    <w:rsid w:val="00043497"/>
    <w:rsid w:val="000800E7"/>
    <w:rsid w:val="00080ED2"/>
    <w:rsid w:val="000909D4"/>
    <w:rsid w:val="00090C9B"/>
    <w:rsid w:val="000C00A7"/>
    <w:rsid w:val="000D5F6C"/>
    <w:rsid w:val="00104178"/>
    <w:rsid w:val="00122D56"/>
    <w:rsid w:val="00123F2D"/>
    <w:rsid w:val="00134DEE"/>
    <w:rsid w:val="00145F65"/>
    <w:rsid w:val="001550A1"/>
    <w:rsid w:val="00161292"/>
    <w:rsid w:val="00165C8F"/>
    <w:rsid w:val="00184DFB"/>
    <w:rsid w:val="00195E3D"/>
    <w:rsid w:val="001A6582"/>
    <w:rsid w:val="001B6650"/>
    <w:rsid w:val="001C05A6"/>
    <w:rsid w:val="001D42D7"/>
    <w:rsid w:val="00214010"/>
    <w:rsid w:val="00221B3A"/>
    <w:rsid w:val="002259B4"/>
    <w:rsid w:val="002426AF"/>
    <w:rsid w:val="002441C6"/>
    <w:rsid w:val="00265829"/>
    <w:rsid w:val="0026663D"/>
    <w:rsid w:val="00275ABB"/>
    <w:rsid w:val="00277C3B"/>
    <w:rsid w:val="00287FEC"/>
    <w:rsid w:val="002961B2"/>
    <w:rsid w:val="002A5BA4"/>
    <w:rsid w:val="002A5EC4"/>
    <w:rsid w:val="002A65F6"/>
    <w:rsid w:val="002C111D"/>
    <w:rsid w:val="002C5DAC"/>
    <w:rsid w:val="002E5BFF"/>
    <w:rsid w:val="0033159B"/>
    <w:rsid w:val="0035674D"/>
    <w:rsid w:val="0036180D"/>
    <w:rsid w:val="00387218"/>
    <w:rsid w:val="00397078"/>
    <w:rsid w:val="003B6CEB"/>
    <w:rsid w:val="003B74FF"/>
    <w:rsid w:val="003B76EA"/>
    <w:rsid w:val="003E1159"/>
    <w:rsid w:val="003E2F61"/>
    <w:rsid w:val="00445124"/>
    <w:rsid w:val="004537B4"/>
    <w:rsid w:val="00457892"/>
    <w:rsid w:val="0047495B"/>
    <w:rsid w:val="00485E71"/>
    <w:rsid w:val="004B08BE"/>
    <w:rsid w:val="004B5906"/>
    <w:rsid w:val="004B6AFE"/>
    <w:rsid w:val="004C21D4"/>
    <w:rsid w:val="004C71CA"/>
    <w:rsid w:val="004E0CA2"/>
    <w:rsid w:val="004E55F9"/>
    <w:rsid w:val="004F3B49"/>
    <w:rsid w:val="00523722"/>
    <w:rsid w:val="00530046"/>
    <w:rsid w:val="005A1B0C"/>
    <w:rsid w:val="005D737B"/>
    <w:rsid w:val="00651F68"/>
    <w:rsid w:val="006A1332"/>
    <w:rsid w:val="006B23AD"/>
    <w:rsid w:val="006D2AC2"/>
    <w:rsid w:val="006D3099"/>
    <w:rsid w:val="006E58C7"/>
    <w:rsid w:val="0070245D"/>
    <w:rsid w:val="007052B7"/>
    <w:rsid w:val="00724245"/>
    <w:rsid w:val="007320DF"/>
    <w:rsid w:val="00732C3F"/>
    <w:rsid w:val="00734D17"/>
    <w:rsid w:val="00774C16"/>
    <w:rsid w:val="007A4D2F"/>
    <w:rsid w:val="007A67DF"/>
    <w:rsid w:val="007C12EF"/>
    <w:rsid w:val="007C3275"/>
    <w:rsid w:val="007D212A"/>
    <w:rsid w:val="007E17DC"/>
    <w:rsid w:val="007E3F01"/>
    <w:rsid w:val="007F6319"/>
    <w:rsid w:val="00807A99"/>
    <w:rsid w:val="00813CDB"/>
    <w:rsid w:val="0081772B"/>
    <w:rsid w:val="00830641"/>
    <w:rsid w:val="00837593"/>
    <w:rsid w:val="008556E6"/>
    <w:rsid w:val="00876B71"/>
    <w:rsid w:val="00887909"/>
    <w:rsid w:val="008C43C3"/>
    <w:rsid w:val="008C69D6"/>
    <w:rsid w:val="008E659D"/>
    <w:rsid w:val="008E6F2B"/>
    <w:rsid w:val="00905B42"/>
    <w:rsid w:val="00905DC3"/>
    <w:rsid w:val="00924CF9"/>
    <w:rsid w:val="00926EA1"/>
    <w:rsid w:val="009601C2"/>
    <w:rsid w:val="00960C2D"/>
    <w:rsid w:val="00974759"/>
    <w:rsid w:val="009A3B1A"/>
    <w:rsid w:val="009A6866"/>
    <w:rsid w:val="009B14B1"/>
    <w:rsid w:val="009C0ED3"/>
    <w:rsid w:val="009E5A52"/>
    <w:rsid w:val="009E6326"/>
    <w:rsid w:val="009F3175"/>
    <w:rsid w:val="00A00D07"/>
    <w:rsid w:val="00A07855"/>
    <w:rsid w:val="00A36B0F"/>
    <w:rsid w:val="00A65463"/>
    <w:rsid w:val="00A77FB5"/>
    <w:rsid w:val="00A8122B"/>
    <w:rsid w:val="00A86491"/>
    <w:rsid w:val="00A900E5"/>
    <w:rsid w:val="00A955AA"/>
    <w:rsid w:val="00AA0AA1"/>
    <w:rsid w:val="00AB4641"/>
    <w:rsid w:val="00AB6C12"/>
    <w:rsid w:val="00AC1A0C"/>
    <w:rsid w:val="00AC5B42"/>
    <w:rsid w:val="00B07EEE"/>
    <w:rsid w:val="00B15206"/>
    <w:rsid w:val="00B25900"/>
    <w:rsid w:val="00B262D5"/>
    <w:rsid w:val="00B32A45"/>
    <w:rsid w:val="00B513D8"/>
    <w:rsid w:val="00B5657F"/>
    <w:rsid w:val="00B734F9"/>
    <w:rsid w:val="00B86DCB"/>
    <w:rsid w:val="00BA005B"/>
    <w:rsid w:val="00BB084D"/>
    <w:rsid w:val="00BB7054"/>
    <w:rsid w:val="00BC456D"/>
    <w:rsid w:val="00BD3D3B"/>
    <w:rsid w:val="00C0319A"/>
    <w:rsid w:val="00C03518"/>
    <w:rsid w:val="00C109D5"/>
    <w:rsid w:val="00C15ED7"/>
    <w:rsid w:val="00C20D90"/>
    <w:rsid w:val="00C22814"/>
    <w:rsid w:val="00C3225A"/>
    <w:rsid w:val="00C526F1"/>
    <w:rsid w:val="00C629E1"/>
    <w:rsid w:val="00C77FB5"/>
    <w:rsid w:val="00C8737E"/>
    <w:rsid w:val="00CA306F"/>
    <w:rsid w:val="00CA777D"/>
    <w:rsid w:val="00CB03C1"/>
    <w:rsid w:val="00CB2F8F"/>
    <w:rsid w:val="00CC2C5F"/>
    <w:rsid w:val="00CC69EE"/>
    <w:rsid w:val="00CD49CE"/>
    <w:rsid w:val="00D117B2"/>
    <w:rsid w:val="00D12C7B"/>
    <w:rsid w:val="00D2653A"/>
    <w:rsid w:val="00D35E84"/>
    <w:rsid w:val="00D37DE1"/>
    <w:rsid w:val="00D71795"/>
    <w:rsid w:val="00DA21AB"/>
    <w:rsid w:val="00DB5171"/>
    <w:rsid w:val="00DC0B42"/>
    <w:rsid w:val="00DE61B8"/>
    <w:rsid w:val="00DE6A50"/>
    <w:rsid w:val="00DF31BC"/>
    <w:rsid w:val="00E12D78"/>
    <w:rsid w:val="00E146D2"/>
    <w:rsid w:val="00E238A5"/>
    <w:rsid w:val="00E3715C"/>
    <w:rsid w:val="00E436B8"/>
    <w:rsid w:val="00E50B79"/>
    <w:rsid w:val="00E76EF4"/>
    <w:rsid w:val="00E77C4A"/>
    <w:rsid w:val="00E87CE1"/>
    <w:rsid w:val="00E94D30"/>
    <w:rsid w:val="00EA7209"/>
    <w:rsid w:val="00F42425"/>
    <w:rsid w:val="00F45C8D"/>
    <w:rsid w:val="00F53F41"/>
    <w:rsid w:val="00F63DB3"/>
    <w:rsid w:val="00F81719"/>
    <w:rsid w:val="00F81D3D"/>
    <w:rsid w:val="00F825F0"/>
    <w:rsid w:val="00F95E1E"/>
    <w:rsid w:val="00FA31CF"/>
    <w:rsid w:val="00FB10CE"/>
    <w:rsid w:val="00FB4FC6"/>
    <w:rsid w:val="00FC6B3C"/>
    <w:rsid w:val="00FD270A"/>
    <w:rsid w:val="00FD5980"/>
    <w:rsid w:val="00FE1378"/>
    <w:rsid w:val="00FF0222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078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6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C6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078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6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C6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89;&#1110;&#1095;&#1077;&#1085;&#1100;%20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89;&#1110;&#1095;&#1077;&#1085;&#1100;%20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89;&#1110;&#1095;&#1077;&#1085;&#1100;%20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89;&#1110;&#1095;&#1077;&#1085;&#1100;%20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89;&#1110;&#1095;&#1077;&#1085;&#1100;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89;&#1110;&#1095;&#1077;&#1085;&#1100;%20202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89;&#1110;&#1095;&#1077;&#1085;&#1100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наданих послуг за січень 2024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липень!$F$117:$F$125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19-4D22-BCFA-6AF5C96EC4E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липень!$G$117:$G$125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19-4D22-BCFA-6AF5C96EC4E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липень!$H$117:$H$125</c:f>
              <c:numCache>
                <c:formatCode>General</c:formatCode>
                <c:ptCount val="9"/>
                <c:pt idx="0">
                  <c:v>229</c:v>
                </c:pt>
                <c:pt idx="1">
                  <c:v>52</c:v>
                </c:pt>
                <c:pt idx="2">
                  <c:v>8</c:v>
                </c:pt>
                <c:pt idx="3">
                  <c:v>68</c:v>
                </c:pt>
                <c:pt idx="4">
                  <c:v>24</c:v>
                </c:pt>
                <c:pt idx="5">
                  <c:v>345</c:v>
                </c:pt>
                <c:pt idx="6">
                  <c:v>20</c:v>
                </c:pt>
                <c:pt idx="7">
                  <c:v>6</c:v>
                </c:pt>
                <c:pt idx="8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19-4D22-BCFA-6AF5C96EC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2843648"/>
        <c:axId val="562845184"/>
        <c:axId val="0"/>
      </c:bar3DChart>
      <c:catAx>
        <c:axId val="56284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845184"/>
        <c:crosses val="autoZero"/>
        <c:auto val="1"/>
        <c:lblAlgn val="ctr"/>
        <c:lblOffset val="100"/>
        <c:noMultiLvlLbl val="0"/>
      </c:catAx>
      <c:valAx>
        <c:axId val="5628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84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Реєстрація МПФО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липень!$H$44:$H$52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B2-4B01-8B0D-298C1483C75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липень!$I$44:$I$52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B2-4B01-8B0D-298C1483C75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липень!$J$44:$J$52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2-4B01-8B0D-298C1483C75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липень!$K$44:$K$52</c:f>
              <c:numCache>
                <c:formatCode>General</c:formatCode>
                <c:ptCount val="9"/>
                <c:pt idx="0">
                  <c:v>24</c:v>
                </c:pt>
                <c:pt idx="1">
                  <c:v>0</c:v>
                </c:pt>
                <c:pt idx="2">
                  <c:v>8</c:v>
                </c:pt>
                <c:pt idx="3">
                  <c:v>1</c:v>
                </c:pt>
                <c:pt idx="4">
                  <c:v>64</c:v>
                </c:pt>
                <c:pt idx="5">
                  <c:v>0</c:v>
                </c:pt>
                <c:pt idx="6">
                  <c:v>9</c:v>
                </c:pt>
                <c:pt idx="7">
                  <c:v>104</c:v>
                </c:pt>
                <c:pt idx="8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B2-4B01-8B0D-298C1483C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097152"/>
        <c:axId val="152098688"/>
        <c:axId val="0"/>
      </c:bar3DChart>
      <c:catAx>
        <c:axId val="15209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98688"/>
        <c:crosses val="autoZero"/>
        <c:auto val="1"/>
        <c:lblAlgn val="ctr"/>
        <c:lblOffset val="100"/>
        <c:noMultiLvlLbl val="0"/>
      </c:catAx>
      <c:valAx>
        <c:axId val="15209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9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Послуги ДРАЦС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333E-2"/>
                  <c:y val="-3.2407407407407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4D-48FE-B61A-6258A90FAC93}"/>
                </c:ext>
              </c:extLst>
            </c:dLbl>
            <c:dLbl>
              <c:idx val="1"/>
              <c:layout>
                <c:manualLayout>
                  <c:x val="2.5000000000000001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4D-48FE-B61A-6258A90FAC93}"/>
                </c:ext>
              </c:extLst>
            </c:dLbl>
            <c:dLbl>
              <c:idx val="2"/>
              <c:layout>
                <c:manualLayout>
                  <c:x val="-1.0185067526415994E-16"/>
                  <c:y val="-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4D-48FE-B61A-6258A90FA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липень!$E$61:$E$63</c:f>
              <c:strCache>
                <c:ptCount val="3"/>
                <c:pt idx="0">
                  <c:v>АЗ про смерть</c:v>
                </c:pt>
                <c:pt idx="1">
                  <c:v>АЗ про народження</c:v>
                </c:pt>
                <c:pt idx="2">
                  <c:v>АЗ про шлюб</c:v>
                </c:pt>
              </c:strCache>
            </c:strRef>
          </c:cat>
          <c:val>
            <c:numRef>
              <c:f>липень!$F$61:$F$63</c:f>
              <c:numCache>
                <c:formatCode>General</c:formatCode>
                <c:ptCount val="3"/>
                <c:pt idx="0">
                  <c:v>38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4D-48FE-B61A-6258A90F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122432"/>
        <c:axId val="207123968"/>
        <c:axId val="0"/>
      </c:bar3DChart>
      <c:catAx>
        <c:axId val="20712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23968"/>
        <c:crosses val="autoZero"/>
        <c:auto val="1"/>
        <c:lblAlgn val="ctr"/>
        <c:lblOffset val="100"/>
        <c:noMultiLvlLbl val="0"/>
      </c:catAx>
      <c:valAx>
        <c:axId val="20712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2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Реєстрація речових прав на нерухоме майно</a:t>
            </a:r>
          </a:p>
        </c:rich>
      </c:tx>
      <c:layout>
        <c:manualLayout>
          <c:xMode val="edge"/>
          <c:yMode val="edge"/>
          <c:x val="0.12218744531933508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1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2E-4E78-BDA0-0CF41BA77A32}"/>
                </c:ext>
              </c:extLst>
            </c:dLbl>
            <c:dLbl>
              <c:idx val="1"/>
              <c:layout>
                <c:manualLayout>
                  <c:x val="1.666666666666666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E-4E78-BDA0-0CF41BA77A32}"/>
                </c:ext>
              </c:extLst>
            </c:dLbl>
            <c:dLbl>
              <c:idx val="2"/>
              <c:layout>
                <c:manualLayout>
                  <c:x val="2.2222222222222223E-2"/>
                  <c:y val="-4.6296296296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E-4E78-BDA0-0CF41BA77A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липень!$E$81:$E$83</c:f>
              <c:strCache>
                <c:ptCount val="3"/>
                <c:pt idx="0">
                  <c:v>Реєстрація права власності</c:v>
                </c:pt>
                <c:pt idx="1">
                  <c:v>Реєстрація іншого речового права</c:v>
                </c:pt>
                <c:pt idx="2">
                  <c:v>Інформаційна довідка</c:v>
                </c:pt>
              </c:strCache>
            </c:strRef>
          </c:cat>
          <c:val>
            <c:numRef>
              <c:f>липень!$F$81:$F$83</c:f>
              <c:numCache>
                <c:formatCode>General</c:formatCode>
                <c:ptCount val="3"/>
                <c:pt idx="0">
                  <c:v>51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62E-4E78-BDA0-0CF41BA77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146368"/>
        <c:axId val="207148160"/>
        <c:axId val="0"/>
      </c:bar3DChart>
      <c:catAx>
        <c:axId val="2071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48160"/>
        <c:crosses val="autoZero"/>
        <c:auto val="1"/>
        <c:lblAlgn val="ctr"/>
        <c:lblOffset val="100"/>
        <c:noMultiLvlLbl val="0"/>
      </c:catAx>
      <c:valAx>
        <c:axId val="20714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4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Державна реєстрація юридичних осіб, фізичних осіб-підприємців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липень!$F$4:$F$12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D4-454B-BA9E-6915BC883E0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липень!$G$4:$G$12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D4-454B-BA9E-6915BC883E0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липень!$H$4:$H$12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D4-454B-BA9E-6915BC883E0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липень!$I$4:$I$12</c:f>
              <c:numCache>
                <c:formatCode>General</c:formatCode>
                <c:ptCount val="9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D4-454B-BA9E-6915BC883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156032"/>
        <c:axId val="258157568"/>
        <c:axId val="0"/>
      </c:bar3DChart>
      <c:catAx>
        <c:axId val="2581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157568"/>
        <c:crosses val="autoZero"/>
        <c:auto val="1"/>
        <c:lblAlgn val="ctr"/>
        <c:lblOffset val="100"/>
        <c:noMultiLvlLbl val="0"/>
      </c:catAx>
      <c:valAx>
        <c:axId val="25815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15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Оформлення та видача паспортів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59-4C1F-A904-3D546123D725}"/>
                </c:ext>
              </c:extLst>
            </c:dLbl>
            <c:dLbl>
              <c:idx val="1"/>
              <c:layout>
                <c:manualLayout>
                  <c:x val="1.6666666666666666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59-4C1F-A904-3D546123D725}"/>
                </c:ext>
              </c:extLst>
            </c:dLbl>
            <c:dLbl>
              <c:idx val="2"/>
              <c:layout>
                <c:manualLayout>
                  <c:x val="1.666666666666666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59-4C1F-A904-3D546123D725}"/>
                </c:ext>
              </c:extLst>
            </c:dLbl>
            <c:dLbl>
              <c:idx val="3"/>
              <c:layout>
                <c:manualLayout>
                  <c:x val="2.500000000000000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59-4C1F-A904-3D546123D725}"/>
                </c:ext>
              </c:extLst>
            </c:dLbl>
            <c:dLbl>
              <c:idx val="4"/>
              <c:layout>
                <c:manualLayout>
                  <c:x val="1.666666666666666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59-4C1F-A904-3D546123D7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липень!$E$25:$E$29</c:f>
              <c:strCache>
                <c:ptCount val="5"/>
                <c:pt idx="0">
                  <c:v>Оформлення ЗП</c:v>
                </c:pt>
                <c:pt idx="1">
                  <c:v>Видача ЗП</c:v>
                </c:pt>
                <c:pt idx="2">
                  <c:v>Оформлення ID</c:v>
                </c:pt>
                <c:pt idx="3">
                  <c:v>Видача ID </c:v>
                </c:pt>
                <c:pt idx="4">
                  <c:v>Вклейка фото</c:v>
                </c:pt>
              </c:strCache>
            </c:strRef>
          </c:cat>
          <c:val>
            <c:numRef>
              <c:f>липень!$F$25:$F$29</c:f>
              <c:numCache>
                <c:formatCode>General</c:formatCode>
                <c:ptCount val="5"/>
                <c:pt idx="0">
                  <c:v>116</c:v>
                </c:pt>
                <c:pt idx="1">
                  <c:v>93</c:v>
                </c:pt>
                <c:pt idx="2">
                  <c:v>57</c:v>
                </c:pt>
                <c:pt idx="3">
                  <c:v>63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A59-4C1F-A904-3D546123D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940416"/>
        <c:axId val="312941952"/>
        <c:axId val="0"/>
      </c:bar3DChart>
      <c:catAx>
        <c:axId val="31294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941952"/>
        <c:crosses val="autoZero"/>
        <c:auto val="1"/>
        <c:lblAlgn val="ctr"/>
        <c:lblOffset val="100"/>
        <c:noMultiLvlLbl val="0"/>
      </c:catAx>
      <c:valAx>
        <c:axId val="31294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94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наданих послуг старостинськими округами за січень 2024 р.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липень!$E$133:$E$144</c:f>
              <c:strCache>
                <c:ptCount val="12"/>
                <c:pt idx="0">
                  <c:v>Знам'янський с/о № 1</c:v>
                </c:pt>
                <c:pt idx="1">
                  <c:v>Староводолазький с/о № 2</c:v>
                </c:pt>
                <c:pt idx="2">
                  <c:v>Одринський с/о № 3</c:v>
                </c:pt>
                <c:pt idx="3">
                  <c:v>Ордівський с/о № 4</c:v>
                </c:pt>
                <c:pt idx="4">
                  <c:v>Сосонівський с/о № 5</c:v>
                </c:pt>
                <c:pt idx="5">
                  <c:v>Новоселівський с/о № 6</c:v>
                </c:pt>
                <c:pt idx="6">
                  <c:v>Федорівський с/о № 7</c:v>
                </c:pt>
                <c:pt idx="7">
                  <c:v>Просянський с/о №  8</c:v>
                </c:pt>
                <c:pt idx="8">
                  <c:v>Рокитненський с/о № 9</c:v>
                </c:pt>
                <c:pt idx="9">
                  <c:v>Ватутінський с/о № 10</c:v>
                </c:pt>
                <c:pt idx="10">
                  <c:v>Бірківський с/о № 11</c:v>
                </c:pt>
                <c:pt idx="11">
                  <c:v>Липкуватівський с/о № 12</c:v>
                </c:pt>
              </c:strCache>
            </c:strRef>
          </c:cat>
          <c:val>
            <c:numRef>
              <c:f>липень!$F$133:$F$144</c:f>
              <c:numCache>
                <c:formatCode>General</c:formatCode>
                <c:ptCount val="12"/>
                <c:pt idx="0">
                  <c:v>33</c:v>
                </c:pt>
                <c:pt idx="1">
                  <c:v>53</c:v>
                </c:pt>
                <c:pt idx="2">
                  <c:v>59</c:v>
                </c:pt>
                <c:pt idx="3">
                  <c:v>45</c:v>
                </c:pt>
                <c:pt idx="4">
                  <c:v>105</c:v>
                </c:pt>
                <c:pt idx="5">
                  <c:v>204</c:v>
                </c:pt>
                <c:pt idx="6">
                  <c:v>52</c:v>
                </c:pt>
                <c:pt idx="7">
                  <c:v>148</c:v>
                </c:pt>
                <c:pt idx="8">
                  <c:v>113</c:v>
                </c:pt>
                <c:pt idx="9">
                  <c:v>170</c:v>
                </c:pt>
                <c:pt idx="10">
                  <c:v>53</c:v>
                </c:pt>
                <c:pt idx="1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0E-4D7D-A5E8-58AB41399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955264"/>
        <c:axId val="312956800"/>
        <c:axId val="0"/>
      </c:bar3DChart>
      <c:catAx>
        <c:axId val="31295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956800"/>
        <c:crosses val="autoZero"/>
        <c:auto val="1"/>
        <c:lblAlgn val="ctr"/>
        <c:lblOffset val="100"/>
        <c:noMultiLvlLbl val="0"/>
      </c:catAx>
      <c:valAx>
        <c:axId val="31295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95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E9E8-5DF3-4CA9-9CB1-F635A32B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2024-05-02T10:47:00Z</dcterms:created>
  <dcterms:modified xsi:type="dcterms:W3CDTF">2024-05-02T11:14:00Z</dcterms:modified>
</cp:coreProperties>
</file>