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F" w:rsidRDefault="001D5EFE" w:rsidP="00234F0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1D5E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Діяльність </w:t>
      </w:r>
      <w:proofErr w:type="spellStart"/>
      <w:r w:rsidRPr="001D5E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Pr="001D5E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округів щодо надання </w:t>
      </w:r>
    </w:p>
    <w:p w:rsidR="001D5EFE" w:rsidRDefault="001D5EFE" w:rsidP="00234F0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1D5E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адміністративних послуг</w:t>
      </w:r>
      <w:r w:rsidR="00E67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(</w:t>
      </w:r>
      <w:r w:rsidR="004763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жовтень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2018 р.)</w:t>
      </w:r>
    </w:p>
    <w:p w:rsidR="001D5EFE" w:rsidRPr="001D5EFE" w:rsidRDefault="001D5EFE" w:rsidP="00234F0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97514A" w:rsidRDefault="002B10A3" w:rsidP="00234F0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метою наближення адміністративних послуг до населення  старост</w:t>
      </w:r>
      <w:r w:rsidR="00304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отримали повноваження первинної реєстрації актів цивільного стану (одруження, народження, смерть), реєстрації актів проживання фізичних осіб, видачі довідок про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склад сім’ї, довідки про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зареєстрованих осіб</w:t>
      </w:r>
      <w:r w:rsidR="008378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тощо. </w:t>
      </w:r>
    </w:p>
    <w:p w:rsidR="003E511D" w:rsidRDefault="003E511D" w:rsidP="0030463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304633" w:rsidRDefault="00304633" w:rsidP="0030463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3046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Кількість </w:t>
      </w:r>
    </w:p>
    <w:p w:rsidR="00304633" w:rsidRDefault="00304633" w:rsidP="0030463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3046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адміністративних послуг, які надаються у </w:t>
      </w:r>
      <w:proofErr w:type="spellStart"/>
      <w:r w:rsidRPr="003046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Pr="003046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округах</w:t>
      </w:r>
    </w:p>
    <w:p w:rsidR="00234F0B" w:rsidRDefault="00234F0B" w:rsidP="0030463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304633" w:rsidRPr="00234F0B" w:rsidRDefault="00476310" w:rsidP="00234F0B">
      <w:pPr>
        <w:ind w:left="-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0E9171D" wp14:editId="3465664E">
            <wp:extent cx="7077075" cy="4181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14B6" w:rsidRDefault="00234F0B" w:rsidP="00234F0B">
      <w:pPr>
        <w:ind w:left="-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2614B6">
        <w:rPr>
          <w:noProof/>
          <w:lang w:eastAsia="ru-RU"/>
        </w:rPr>
        <w:lastRenderedPageBreak/>
        <w:drawing>
          <wp:inline distT="0" distB="0" distL="0" distR="0" wp14:anchorId="091B23BC" wp14:editId="71368E27">
            <wp:extent cx="10258425" cy="5362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14B6" w:rsidRDefault="002614B6" w:rsidP="002614B6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Проаналізувавши графіки можна зробити висновок,</w:t>
      </w:r>
      <w:r w:rsidR="008B0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адміністративних послуг надає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8B0085">
        <w:rPr>
          <w:rFonts w:ascii="Times New Roman" w:hAnsi="Times New Roman" w:cs="Times New Roman"/>
          <w:sz w:val="28"/>
          <w:szCs w:val="28"/>
          <w:lang w:val="uk-UA"/>
        </w:rPr>
        <w:t>, що пояснюється більшою кількістю населення. За загальною кількістю наданих адміністративних послуг жовтень (402 послуги) посідає друге місце після липня (483 послуги</w:t>
      </w:r>
      <w:bookmarkStart w:id="0" w:name="_GoBack"/>
      <w:bookmarkEnd w:id="0"/>
      <w:r w:rsidR="008B008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14B6" w:rsidRDefault="002614B6" w:rsidP="00234F0B">
      <w:pPr>
        <w:ind w:left="-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14B6" w:rsidRDefault="002614B6" w:rsidP="00234F0B">
      <w:pPr>
        <w:ind w:left="-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14B6" w:rsidSect="0027608E">
      <w:pgSz w:w="16838" w:h="11906" w:orient="landscape"/>
      <w:pgMar w:top="284" w:right="28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B"/>
    <w:rsid w:val="0007201C"/>
    <w:rsid w:val="001D5EFE"/>
    <w:rsid w:val="00234F0B"/>
    <w:rsid w:val="002614B6"/>
    <w:rsid w:val="0027608E"/>
    <w:rsid w:val="002B10A3"/>
    <w:rsid w:val="002F6E53"/>
    <w:rsid w:val="00304633"/>
    <w:rsid w:val="003E511D"/>
    <w:rsid w:val="00476310"/>
    <w:rsid w:val="004945C7"/>
    <w:rsid w:val="005822EB"/>
    <w:rsid w:val="00713838"/>
    <w:rsid w:val="00837881"/>
    <w:rsid w:val="008378FC"/>
    <w:rsid w:val="008B0085"/>
    <w:rsid w:val="0097514A"/>
    <w:rsid w:val="00C82527"/>
    <w:rsid w:val="00DA5A7F"/>
    <w:rsid w:val="00E67782"/>
    <w:rsid w:val="00E938A2"/>
    <w:rsid w:val="00EE4E9F"/>
    <w:rsid w:val="00F552F8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110;&#1090;&#1086;&#1088;&#1080;&#1085;&#1075;%20&#1076;&#1110;&#1103;&#1083;&#1100;&#1085;&#1086;&#1089;&#1090;&#1110;\&#1089;&#1090;&#1072;&#1088;&#1086;&#1089;&#1090;&#1080;&#1085;&#1089;&#1100;&#1082;&#1110;%20&#1086;&#1082;&#1088;&#1091;&#1075;&#1080;\&#1078;&#1086;&#1074;&#1090;&#1077;&#1085;&#1100;%20&#1089;&#1090;&#1072;&#1088;&#1086;&#1089;&#1090;&#1080;&#1085;&#1089;&#1100;&#1082;&#1110;%20&#1086;&#1082;&#1088;&#1091;&#1075;&#1080;%20&#1075;&#1088;&#1072;&#1092;&#111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110;&#1090;&#1086;&#1088;&#1080;&#1085;&#1075;%20&#1076;&#1110;&#1103;&#1083;&#1100;&#1085;&#1086;&#1089;&#1090;&#1110;\&#1089;&#1090;&#1072;&#1088;&#1086;&#1089;&#1090;&#1080;&#1085;&#1089;&#1100;&#1082;&#1110;%20&#1086;&#1082;&#1088;&#1091;&#1075;&#1080;\&#1078;&#1086;&#1074;&#1090;&#1077;&#1085;&#1100;%20&#1089;&#1090;&#1072;&#1088;&#1086;&#1089;&#1090;&#1080;&#1085;&#1089;&#1100;&#1082;&#1110;%20&#1086;&#1082;&#1088;&#1091;&#1075;&#1080;%20&#1075;&#1088;&#1072;&#1092;&#111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Кількість адміністративних послуг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111111111111112E-2"/>
                  <c:y val="-0.194444444444444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0.18981481481481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0.171296296296296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3835E-3"/>
                  <c:y val="-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11087560892035E-2"/>
                  <c:y val="-0.45426267046915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666631341338053E-2"/>
                  <c:y val="-0.37889141989369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888930101772272E-2"/>
                  <c:y val="-0.35415086781578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461158034922619E-2"/>
                  <c:y val="-0.39726244925534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Лист1!$B$4:$C$11</c:f>
              <c:strCache>
                <c:ptCount val="8"/>
                <c:pt idx="0">
                  <c:v>березень</c:v>
                </c:pt>
                <c:pt idx="1">
                  <c:v>квітень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Лист1!$D$4:$D$11</c:f>
              <c:numCache>
                <c:formatCode>General</c:formatCode>
                <c:ptCount val="8"/>
                <c:pt idx="0">
                  <c:v>168</c:v>
                </c:pt>
                <c:pt idx="1">
                  <c:v>151</c:v>
                </c:pt>
                <c:pt idx="2">
                  <c:v>141</c:v>
                </c:pt>
                <c:pt idx="3">
                  <c:v>224</c:v>
                </c:pt>
                <c:pt idx="4">
                  <c:v>483</c:v>
                </c:pt>
                <c:pt idx="5">
                  <c:v>382</c:v>
                </c:pt>
                <c:pt idx="6">
                  <c:v>359</c:v>
                </c:pt>
                <c:pt idx="7">
                  <c:v>402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</c:strCache>
            </c:strRef>
          </c:tx>
          <c:invertIfNegative val="0"/>
          <c:cat>
            <c:strRef>
              <c:f>Лист1!$B$4:$C$11</c:f>
              <c:strCache>
                <c:ptCount val="8"/>
                <c:pt idx="0">
                  <c:v>березень</c:v>
                </c:pt>
                <c:pt idx="1">
                  <c:v>квітень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Лист1!$E$4:$E$11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</c:strCache>
            </c:strRef>
          </c:tx>
          <c:invertIfNegative val="0"/>
          <c:cat>
            <c:strRef>
              <c:f>Лист1!$B$4:$C$11</c:f>
              <c:strCache>
                <c:ptCount val="8"/>
                <c:pt idx="0">
                  <c:v>березень</c:v>
                </c:pt>
                <c:pt idx="1">
                  <c:v>квітень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Лист1!$F$4:$F$11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Лист1!$G$3</c:f>
              <c:strCache>
                <c:ptCount val="1"/>
              </c:strCache>
            </c:strRef>
          </c:tx>
          <c:invertIfNegative val="0"/>
          <c:cat>
            <c:strRef>
              <c:f>Лист1!$B$4:$C$11</c:f>
              <c:strCache>
                <c:ptCount val="8"/>
                <c:pt idx="0">
                  <c:v>березень</c:v>
                </c:pt>
                <c:pt idx="1">
                  <c:v>квітень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Лист1!$G$4:$G$11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Лист1!$H$3</c:f>
              <c:strCache>
                <c:ptCount val="1"/>
                <c:pt idx="0">
                  <c:v>кількість</c:v>
                </c:pt>
              </c:strCache>
            </c:strRef>
          </c:tx>
          <c:invertIfNegative val="0"/>
          <c:cat>
            <c:strRef>
              <c:f>Лист1!$B$4:$C$11</c:f>
              <c:strCache>
                <c:ptCount val="8"/>
                <c:pt idx="0">
                  <c:v>березень</c:v>
                </c:pt>
                <c:pt idx="1">
                  <c:v>квітень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Лист1!$H$4:$H$11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502144"/>
        <c:axId val="248503680"/>
        <c:axId val="0"/>
      </c:bar3DChart>
      <c:catAx>
        <c:axId val="24850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48503680"/>
        <c:crosses val="autoZero"/>
        <c:auto val="1"/>
        <c:lblAlgn val="ctr"/>
        <c:lblOffset val="100"/>
        <c:noMultiLvlLbl val="0"/>
      </c:catAx>
      <c:valAx>
        <c:axId val="2485036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850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Лист1!$C$27:$E$27</c:f>
              <c:strCache>
                <c:ptCount val="1"/>
                <c:pt idx="0">
                  <c:v>Знам'янський с.о. </c:v>
                </c:pt>
              </c:strCache>
            </c:strRef>
          </c:tx>
          <c:invertIfNegative val="0"/>
          <c:cat>
            <c:strRef>
              <c:f>Лист1!$F$26:$M$26</c:f>
              <c:strCache>
                <c:ptCount val="8"/>
                <c:pt idx="0">
                  <c:v>березень</c:v>
                </c:pt>
                <c:pt idx="1">
                  <c:v>квітень 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Лист1!$F$27:$M$27</c:f>
              <c:numCache>
                <c:formatCode>General</c:formatCode>
                <c:ptCount val="8"/>
                <c:pt idx="0">
                  <c:v>15</c:v>
                </c:pt>
                <c:pt idx="1">
                  <c:v>9</c:v>
                </c:pt>
                <c:pt idx="2">
                  <c:v>9</c:v>
                </c:pt>
                <c:pt idx="3">
                  <c:v>7</c:v>
                </c:pt>
                <c:pt idx="4">
                  <c:v>18</c:v>
                </c:pt>
                <c:pt idx="5">
                  <c:v>15</c:v>
                </c:pt>
                <c:pt idx="6">
                  <c:v>26</c:v>
                </c:pt>
                <c:pt idx="7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Лист1!$C$28:$E$28</c:f>
              <c:strCache>
                <c:ptCount val="1"/>
                <c:pt idx="0">
                  <c:v>Староводолазький с.о.</c:v>
                </c:pt>
              </c:strCache>
            </c:strRef>
          </c:tx>
          <c:invertIfNegative val="0"/>
          <c:cat>
            <c:strRef>
              <c:f>Лист1!$F$26:$M$26</c:f>
              <c:strCache>
                <c:ptCount val="8"/>
                <c:pt idx="0">
                  <c:v>березень</c:v>
                </c:pt>
                <c:pt idx="1">
                  <c:v>квітень 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Лист1!$F$28:$M$28</c:f>
              <c:numCache>
                <c:formatCode>General</c:formatCode>
                <c:ptCount val="8"/>
                <c:pt idx="0">
                  <c:v>17</c:v>
                </c:pt>
                <c:pt idx="1">
                  <c:v>21</c:v>
                </c:pt>
                <c:pt idx="2">
                  <c:v>13</c:v>
                </c:pt>
                <c:pt idx="3">
                  <c:v>27</c:v>
                </c:pt>
                <c:pt idx="4">
                  <c:v>44</c:v>
                </c:pt>
                <c:pt idx="5">
                  <c:v>34</c:v>
                </c:pt>
                <c:pt idx="6">
                  <c:v>21</c:v>
                </c:pt>
                <c:pt idx="7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Лист1!$C$29:$E$29</c:f>
              <c:strCache>
                <c:ptCount val="1"/>
                <c:pt idx="0">
                  <c:v>Одринський с.о.</c:v>
                </c:pt>
              </c:strCache>
            </c:strRef>
          </c:tx>
          <c:invertIfNegative val="0"/>
          <c:cat>
            <c:strRef>
              <c:f>Лист1!$F$26:$M$26</c:f>
              <c:strCache>
                <c:ptCount val="8"/>
                <c:pt idx="0">
                  <c:v>березень</c:v>
                </c:pt>
                <c:pt idx="1">
                  <c:v>квітень 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Лист1!$F$29:$M$29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  <c:pt idx="2">
                  <c:v>7</c:v>
                </c:pt>
                <c:pt idx="3">
                  <c:v>11</c:v>
                </c:pt>
                <c:pt idx="4">
                  <c:v>18</c:v>
                </c:pt>
                <c:pt idx="5">
                  <c:v>10</c:v>
                </c:pt>
                <c:pt idx="6">
                  <c:v>7</c:v>
                </c:pt>
                <c:pt idx="7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Лист1!$C$30:$E$30</c:f>
              <c:strCache>
                <c:ptCount val="1"/>
                <c:pt idx="0">
                  <c:v>Ордівський с.о.</c:v>
                </c:pt>
              </c:strCache>
            </c:strRef>
          </c:tx>
          <c:invertIfNegative val="0"/>
          <c:cat>
            <c:strRef>
              <c:f>Лист1!$F$26:$M$26</c:f>
              <c:strCache>
                <c:ptCount val="8"/>
                <c:pt idx="0">
                  <c:v>березень</c:v>
                </c:pt>
                <c:pt idx="1">
                  <c:v>квітень 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Лист1!$F$30:$M$30</c:f>
              <c:numCache>
                <c:formatCode>General</c:formatCode>
                <c:ptCount val="8"/>
                <c:pt idx="0">
                  <c:v>26</c:v>
                </c:pt>
                <c:pt idx="1">
                  <c:v>23</c:v>
                </c:pt>
                <c:pt idx="2">
                  <c:v>22</c:v>
                </c:pt>
                <c:pt idx="3">
                  <c:v>22</c:v>
                </c:pt>
                <c:pt idx="4">
                  <c:v>54</c:v>
                </c:pt>
                <c:pt idx="5">
                  <c:v>81</c:v>
                </c:pt>
                <c:pt idx="6">
                  <c:v>28</c:v>
                </c:pt>
                <c:pt idx="7">
                  <c:v>42</c:v>
                </c:pt>
              </c:numCache>
            </c:numRef>
          </c:val>
        </c:ser>
        <c:ser>
          <c:idx val="4"/>
          <c:order val="4"/>
          <c:tx>
            <c:strRef>
              <c:f>Лист1!$C$31:$E$31</c:f>
              <c:strCache>
                <c:ptCount val="1"/>
                <c:pt idx="0">
                  <c:v>Сосонівський с.о.</c:v>
                </c:pt>
              </c:strCache>
            </c:strRef>
          </c:tx>
          <c:invertIfNegative val="0"/>
          <c:cat>
            <c:strRef>
              <c:f>Лист1!$F$26:$M$26</c:f>
              <c:strCache>
                <c:ptCount val="8"/>
                <c:pt idx="0">
                  <c:v>березень</c:v>
                </c:pt>
                <c:pt idx="1">
                  <c:v>квітень 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Лист1!$F$31:$M$31</c:f>
              <c:numCache>
                <c:formatCode>General</c:formatCode>
                <c:ptCount val="8"/>
                <c:pt idx="0">
                  <c:v>22</c:v>
                </c:pt>
                <c:pt idx="1">
                  <c:v>17</c:v>
                </c:pt>
                <c:pt idx="2">
                  <c:v>18</c:v>
                </c:pt>
                <c:pt idx="3">
                  <c:v>24</c:v>
                </c:pt>
                <c:pt idx="4">
                  <c:v>66</c:v>
                </c:pt>
                <c:pt idx="5">
                  <c:v>36</c:v>
                </c:pt>
                <c:pt idx="6">
                  <c:v>62</c:v>
                </c:pt>
                <c:pt idx="7">
                  <c:v>68</c:v>
                </c:pt>
              </c:numCache>
            </c:numRef>
          </c:val>
        </c:ser>
        <c:ser>
          <c:idx val="5"/>
          <c:order val="5"/>
          <c:tx>
            <c:strRef>
              <c:f>Лист1!$C$32:$E$32</c:f>
              <c:strCache>
                <c:ptCount val="1"/>
                <c:pt idx="0">
                  <c:v>Новоселівський с.о.</c:v>
                </c:pt>
              </c:strCache>
            </c:strRef>
          </c:tx>
          <c:invertIfNegative val="0"/>
          <c:cat>
            <c:strRef>
              <c:f>Лист1!$F$26:$M$26</c:f>
              <c:strCache>
                <c:ptCount val="8"/>
                <c:pt idx="0">
                  <c:v>березень</c:v>
                </c:pt>
                <c:pt idx="1">
                  <c:v>квітень 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Лист1!$F$32:$M$32</c:f>
              <c:numCache>
                <c:formatCode>General</c:formatCode>
                <c:ptCount val="8"/>
                <c:pt idx="0">
                  <c:v>70</c:v>
                </c:pt>
                <c:pt idx="1">
                  <c:v>62</c:v>
                </c:pt>
                <c:pt idx="2">
                  <c:v>63</c:v>
                </c:pt>
                <c:pt idx="3">
                  <c:v>126</c:v>
                </c:pt>
                <c:pt idx="4">
                  <c:v>227</c:v>
                </c:pt>
                <c:pt idx="5">
                  <c:v>181</c:v>
                </c:pt>
                <c:pt idx="6">
                  <c:v>189</c:v>
                </c:pt>
                <c:pt idx="7">
                  <c:v>153</c:v>
                </c:pt>
              </c:numCache>
            </c:numRef>
          </c:val>
        </c:ser>
        <c:ser>
          <c:idx val="6"/>
          <c:order val="6"/>
          <c:tx>
            <c:strRef>
              <c:f>Лист1!$C$33:$E$33</c:f>
              <c:strCache>
                <c:ptCount val="1"/>
                <c:pt idx="0">
                  <c:v>Федорівськй с.о.</c:v>
                </c:pt>
              </c:strCache>
            </c:strRef>
          </c:tx>
          <c:invertIfNegative val="0"/>
          <c:cat>
            <c:strRef>
              <c:f>Лист1!$F$26:$M$26</c:f>
              <c:strCache>
                <c:ptCount val="8"/>
                <c:pt idx="0">
                  <c:v>березень</c:v>
                </c:pt>
                <c:pt idx="1">
                  <c:v>квітень 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  <c:pt idx="6">
                  <c:v>вересень</c:v>
                </c:pt>
                <c:pt idx="7">
                  <c:v>жовтень</c:v>
                </c:pt>
              </c:strCache>
            </c:strRef>
          </c:cat>
          <c:val>
            <c:numRef>
              <c:f>Лист1!$F$33:$M$33</c:f>
              <c:numCache>
                <c:formatCode>General</c:formatCode>
                <c:ptCount val="8"/>
                <c:pt idx="0">
                  <c:v>14</c:v>
                </c:pt>
                <c:pt idx="1">
                  <c:v>18</c:v>
                </c:pt>
                <c:pt idx="2">
                  <c:v>9</c:v>
                </c:pt>
                <c:pt idx="3">
                  <c:v>7</c:v>
                </c:pt>
                <c:pt idx="4">
                  <c:v>56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561664"/>
        <c:axId val="248563200"/>
        <c:axId val="0"/>
      </c:bar3DChart>
      <c:catAx>
        <c:axId val="24856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8563200"/>
        <c:crosses val="autoZero"/>
        <c:auto val="1"/>
        <c:lblAlgn val="ctr"/>
        <c:lblOffset val="100"/>
        <c:noMultiLvlLbl val="0"/>
      </c:catAx>
      <c:valAx>
        <c:axId val="248563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856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D6EF-F3D4-44D7-9C90-97DA6D7D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2018-05-16T10:18:00Z</cp:lastPrinted>
  <dcterms:created xsi:type="dcterms:W3CDTF">2018-05-16T05:13:00Z</dcterms:created>
  <dcterms:modified xsi:type="dcterms:W3CDTF">2018-11-08T10:08:00Z</dcterms:modified>
</cp:coreProperties>
</file>